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F55D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7F8BFEA" w14:textId="77777777" w:rsidTr="005F7F7E">
        <w:tc>
          <w:tcPr>
            <w:tcW w:w="2438" w:type="dxa"/>
            <w:shd w:val="clear" w:color="auto" w:fill="auto"/>
          </w:tcPr>
          <w:p w14:paraId="7A12E3C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1BA0258" w14:textId="77777777" w:rsidR="00F445B1" w:rsidRPr="00F95BC9" w:rsidRDefault="00940400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14:paraId="131F7C1A" w14:textId="77777777" w:rsidTr="005F7F7E">
        <w:tc>
          <w:tcPr>
            <w:tcW w:w="2438" w:type="dxa"/>
            <w:shd w:val="clear" w:color="auto" w:fill="auto"/>
          </w:tcPr>
          <w:p w14:paraId="3CE7349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CD99B17" w14:textId="12B3EA1C" w:rsidR="00F445B1" w:rsidRPr="001356F1" w:rsidRDefault="00F039CB" w:rsidP="00F039CB">
            <w:pPr>
              <w:rPr>
                <w:b/>
              </w:rPr>
            </w:pPr>
            <w:r w:rsidRPr="00862D81">
              <w:rPr>
                <w:rStyle w:val="Firstpagetablebold"/>
              </w:rPr>
              <w:t>26 September</w:t>
            </w:r>
            <w:r w:rsidR="00386D12" w:rsidRPr="00862D81">
              <w:rPr>
                <w:rStyle w:val="Firstpagetablebold"/>
              </w:rPr>
              <w:t xml:space="preserve"> </w:t>
            </w:r>
            <w:r w:rsidR="00940400" w:rsidRPr="00862D81">
              <w:rPr>
                <w:rStyle w:val="Firstpagetablebold"/>
              </w:rPr>
              <w:t>20</w:t>
            </w:r>
            <w:r w:rsidR="00D73BBE" w:rsidRPr="00862D81">
              <w:rPr>
                <w:rStyle w:val="Firstpagetablebold"/>
              </w:rPr>
              <w:t>2</w:t>
            </w:r>
            <w:r w:rsidR="00CA26EE" w:rsidRPr="00862D81">
              <w:rPr>
                <w:rStyle w:val="Firstpagetablebold"/>
              </w:rPr>
              <w:t>2</w:t>
            </w:r>
          </w:p>
        </w:tc>
      </w:tr>
      <w:tr w:rsidR="00CE544A" w:rsidRPr="00975B07" w14:paraId="508A4F6E" w14:textId="77777777" w:rsidTr="005F7F7E">
        <w:tc>
          <w:tcPr>
            <w:tcW w:w="2438" w:type="dxa"/>
            <w:shd w:val="clear" w:color="auto" w:fill="auto"/>
          </w:tcPr>
          <w:p w14:paraId="39E8B482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F61A882" w14:textId="77777777" w:rsidR="00F445B1" w:rsidRPr="001356F1" w:rsidRDefault="00940400" w:rsidP="00D73BB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</w:t>
            </w:r>
            <w:r w:rsidR="00D73BBE">
              <w:rPr>
                <w:rStyle w:val="Firstpagetablebold"/>
              </w:rPr>
              <w:t>Regulatory Services and Community Safety</w:t>
            </w:r>
          </w:p>
        </w:tc>
      </w:tr>
      <w:tr w:rsidR="00CE544A" w:rsidRPr="00975B07" w14:paraId="2A585008" w14:textId="77777777" w:rsidTr="005F7F7E">
        <w:tc>
          <w:tcPr>
            <w:tcW w:w="2438" w:type="dxa"/>
            <w:shd w:val="clear" w:color="auto" w:fill="auto"/>
          </w:tcPr>
          <w:p w14:paraId="6515FE62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17CCE420" w14:textId="73DFBA74" w:rsidR="00F445B1" w:rsidRPr="00D32A2D" w:rsidRDefault="00D32A2D" w:rsidP="00D32A2D">
            <w:pPr>
              <w:rPr>
                <w:rStyle w:val="Firstpagetablebold"/>
                <w:bCs/>
              </w:rPr>
            </w:pPr>
            <w:r w:rsidRPr="00D32A2D">
              <w:rPr>
                <w:b/>
              </w:rPr>
              <w:t>Miscellaneous Licensing Update Report</w:t>
            </w:r>
          </w:p>
        </w:tc>
      </w:tr>
    </w:tbl>
    <w:p w14:paraId="1903036C" w14:textId="77777777"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14:paraId="5A0852CB" w14:textId="77777777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08C6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65152B1" w14:textId="77777777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5D1EC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6B7344E9" w14:textId="77777777"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277F74" w14:textId="3A8973E4" w:rsidR="00471319" w:rsidRPr="00940400" w:rsidRDefault="00940400" w:rsidP="003A286A">
            <w:r w:rsidRPr="00940400">
              <w:t xml:space="preserve">To </w:t>
            </w:r>
            <w:r w:rsidR="00D73AAA">
              <w:t xml:space="preserve">update </w:t>
            </w:r>
            <w:r w:rsidR="003A286A">
              <w:t xml:space="preserve">the </w:t>
            </w:r>
            <w:r w:rsidR="00D73AAA">
              <w:t xml:space="preserve">Committee on several </w:t>
            </w:r>
            <w:r w:rsidR="00D32A2D">
              <w:t xml:space="preserve">matters within the Miscellaneous Licensing </w:t>
            </w:r>
            <w:r w:rsidR="003A286A">
              <w:t>function</w:t>
            </w:r>
            <w:r w:rsidR="00D32A2D">
              <w:t xml:space="preserve"> </w:t>
            </w:r>
            <w:r w:rsidR="00D73AAA">
              <w:t>relevant to delegated responsibilities</w:t>
            </w:r>
            <w:r w:rsidR="00D32A2D">
              <w:t xml:space="preserve"> </w:t>
            </w:r>
            <w:r w:rsidR="000515B9">
              <w:t xml:space="preserve"> </w:t>
            </w:r>
          </w:p>
        </w:tc>
      </w:tr>
      <w:tr w:rsidR="00471319" w14:paraId="37F5CD40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2A11" w14:textId="77777777"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98E1" w14:textId="77777777" w:rsidR="00D57F03" w:rsidRPr="001356F1" w:rsidRDefault="00D6640B" w:rsidP="00B225E7">
            <w:r w:rsidRPr="00D6640B">
              <w:t>Enable an inclusive economy</w:t>
            </w:r>
            <w:r>
              <w:t xml:space="preserve"> and Support Thriving Communities</w:t>
            </w:r>
            <w:r w:rsidR="00B225E7">
              <w:t xml:space="preserve"> </w:t>
            </w:r>
          </w:p>
        </w:tc>
      </w:tr>
      <w:tr w:rsidR="00D57F03" w14:paraId="2A0D2594" w14:textId="77777777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DE19" w14:textId="77777777"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85AB9" w14:textId="3BFFD967" w:rsidR="00D57F03" w:rsidRDefault="003A286A" w:rsidP="00940400">
            <w:r>
              <w:t>Council Strategy 2020-24</w:t>
            </w:r>
          </w:p>
        </w:tc>
      </w:tr>
      <w:tr w:rsidR="005F7F7E" w:rsidRPr="00975B07" w14:paraId="7AA7E537" w14:textId="77777777" w:rsidTr="00CB7549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14:paraId="55676559" w14:textId="77777777" w:rsidR="005F7F7E" w:rsidRPr="00975B07" w:rsidRDefault="005F7F7E" w:rsidP="00C44BAE">
            <w:r>
              <w:rPr>
                <w:rStyle w:val="Firstpagetablebold"/>
              </w:rPr>
              <w:t>Recommendation(s):</w:t>
            </w:r>
            <w:r w:rsidRPr="008A43AA">
              <w:rPr>
                <w:rStyle w:val="Firstpagetablebold"/>
                <w:b w:val="0"/>
              </w:rPr>
              <w:t>That the</w:t>
            </w:r>
            <w:r w:rsidR="00853FB3">
              <w:rPr>
                <w:rStyle w:val="Firstpagetablebold"/>
                <w:b w:val="0"/>
              </w:rPr>
              <w:t xml:space="preserve"> General Purposes Licensing</w:t>
            </w:r>
            <w:r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14:paraId="3CBBEC69" w14:textId="77777777" w:rsidTr="00CB7549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6115FAD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902A85" w14:textId="02F522BB" w:rsidR="0030208D" w:rsidRPr="001356F1" w:rsidRDefault="00D73AAA" w:rsidP="00CB7549">
            <w:r w:rsidRPr="00CB7549">
              <w:rPr>
                <w:b/>
              </w:rPr>
              <w:t>Note</w:t>
            </w:r>
            <w:r w:rsidRPr="00D32A2D">
              <w:t xml:space="preserve"> the current position and planned officer actions reg</w:t>
            </w:r>
            <w:r w:rsidR="00CB7549">
              <w:t>arding the matters within this r</w:t>
            </w:r>
            <w:r w:rsidRPr="00D32A2D">
              <w:t>eport</w:t>
            </w:r>
            <w:r w:rsidR="00045891">
              <w:t xml:space="preserve"> </w:t>
            </w:r>
          </w:p>
        </w:tc>
      </w:tr>
      <w:tr w:rsidR="00CB7549" w:rsidRPr="00CB7549" w14:paraId="07FAB266" w14:textId="77777777" w:rsidTr="00CB7549">
        <w:trPr>
          <w:trHeight w:val="6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302E81F" w14:textId="2772DEDA" w:rsidR="00CB7549" w:rsidRPr="00CB7549" w:rsidRDefault="00CB7549" w:rsidP="004A6D2F">
            <w:r w:rsidRPr="00CB7549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8FE2C1" w14:textId="6012384F" w:rsidR="00CB7549" w:rsidRPr="00CB7549" w:rsidRDefault="003A286A" w:rsidP="003A286A">
            <w:pPr>
              <w:rPr>
                <w:b/>
              </w:rPr>
            </w:pPr>
            <w:r>
              <w:rPr>
                <w:b/>
              </w:rPr>
              <w:t>Note and e</w:t>
            </w:r>
            <w:r w:rsidR="00CB7549" w:rsidRPr="00CB7549">
              <w:rPr>
                <w:b/>
              </w:rPr>
              <w:t>ndorse</w:t>
            </w:r>
            <w:r w:rsidR="00CB7549">
              <w:t xml:space="preserve"> the </w:t>
            </w:r>
            <w:r>
              <w:t xml:space="preserve">proposed </w:t>
            </w:r>
            <w:r w:rsidR="00CB7549" w:rsidRPr="004E40D0">
              <w:t>Stree</w:t>
            </w:r>
            <w:r>
              <w:t>t Trading Policy Review 2022-3 timeline,</w:t>
            </w:r>
            <w:r w:rsidR="00CB7549">
              <w:t xml:space="preserve"> </w:t>
            </w:r>
            <w:r w:rsidR="00E22D0E" w:rsidRPr="00E22D0E">
              <w:t xml:space="preserve">including the proposal that an </w:t>
            </w:r>
            <w:r>
              <w:t>extraordinary</w:t>
            </w:r>
            <w:r w:rsidR="00E22D0E" w:rsidRPr="00E22D0E">
              <w:t xml:space="preserve"> meeting of </w:t>
            </w:r>
            <w:r>
              <w:t xml:space="preserve">the </w:t>
            </w:r>
            <w:r w:rsidR="00E22D0E" w:rsidRPr="00E22D0E">
              <w:t xml:space="preserve">General Purposes Licensing Committee be scheduled to align with the proposed review timeline </w:t>
            </w:r>
            <w:r>
              <w:t>set out in this report</w:t>
            </w:r>
            <w:r w:rsidR="00CB7549">
              <w:t>.</w:t>
            </w:r>
          </w:p>
        </w:tc>
      </w:tr>
    </w:tbl>
    <w:p w14:paraId="0F684DE3" w14:textId="77777777" w:rsidR="00853FB3" w:rsidRPr="00853FB3" w:rsidRDefault="00853FB3" w:rsidP="00853FB3"/>
    <w:p w14:paraId="2F80B3DD" w14:textId="332CCB09" w:rsidR="00853FB3" w:rsidRDefault="00853FB3" w:rsidP="00EF03C3">
      <w:pPr>
        <w:numPr>
          <w:ilvl w:val="0"/>
          <w:numId w:val="34"/>
        </w:numPr>
        <w:tabs>
          <w:tab w:val="num" w:pos="720"/>
        </w:tabs>
        <w:spacing w:after="0"/>
        <w:ind w:left="720" w:hanging="720"/>
        <w:jc w:val="both"/>
      </w:pPr>
      <w:r>
        <w:t>Th</w:t>
      </w:r>
      <w:r w:rsidR="007B5CF9">
        <w:t>is</w:t>
      </w:r>
      <w:r>
        <w:t xml:space="preserve"> report is </w:t>
      </w:r>
      <w:r w:rsidR="007B5CF9">
        <w:t xml:space="preserve">intended </w:t>
      </w:r>
      <w:r w:rsidR="000515B9">
        <w:t>t</w:t>
      </w:r>
      <w:r w:rsidR="000515B9" w:rsidRPr="000515B9">
        <w:t xml:space="preserve">o </w:t>
      </w:r>
      <w:r w:rsidR="007B5CF9">
        <w:t xml:space="preserve">inform </w:t>
      </w:r>
      <w:r w:rsidR="000B6C68">
        <w:t>the General Purposes Licensing Committee</w:t>
      </w:r>
      <w:r w:rsidR="007B5CF9">
        <w:t xml:space="preserve"> about progress with and plans regarding some key topics within the remit</w:t>
      </w:r>
      <w:r w:rsidR="00D32A2D">
        <w:t xml:space="preserve"> of “Miscellaneous Licensing” f</w:t>
      </w:r>
      <w:r w:rsidR="007B5CF9">
        <w:t>unctions.</w:t>
      </w:r>
    </w:p>
    <w:p w14:paraId="4C0E816B" w14:textId="462FBA49" w:rsidR="007B5CF9" w:rsidRDefault="007B5CF9" w:rsidP="007B5CF9">
      <w:pPr>
        <w:pStyle w:val="Heading1"/>
        <w:spacing w:after="0"/>
      </w:pPr>
      <w:r>
        <w:t>Street Trading Policy Review Programme 2022-</w:t>
      </w:r>
      <w:r w:rsidR="003A286A">
        <w:t>2</w:t>
      </w:r>
      <w:r>
        <w:t>3</w:t>
      </w:r>
    </w:p>
    <w:p w14:paraId="6387CA6C" w14:textId="77777777" w:rsidR="007B5CF9" w:rsidRDefault="007B5CF9" w:rsidP="007B5CF9"/>
    <w:p w14:paraId="62382983" w14:textId="273E002B" w:rsidR="007A3665" w:rsidRDefault="006B20E6" w:rsidP="00EF03C3">
      <w:pPr>
        <w:numPr>
          <w:ilvl w:val="0"/>
          <w:numId w:val="34"/>
        </w:numPr>
        <w:tabs>
          <w:tab w:val="num" w:pos="720"/>
        </w:tabs>
        <w:spacing w:after="0"/>
        <w:ind w:left="720" w:hanging="720"/>
        <w:jc w:val="both"/>
      </w:pPr>
      <w:r>
        <w:t xml:space="preserve">The current Street Trading Policy 2020 </w:t>
      </w:r>
      <w:r w:rsidR="007A3665">
        <w:t xml:space="preserve">(“The Policy”) </w:t>
      </w:r>
      <w:r>
        <w:t xml:space="preserve">came into force in May 2020 following </w:t>
      </w:r>
      <w:r w:rsidR="007A3665">
        <w:t>review of the 2015 Policy and a consultation process. The Policy contains a commitment to review every 3 years.</w:t>
      </w:r>
    </w:p>
    <w:p w14:paraId="05C6EFA6" w14:textId="77777777" w:rsidR="00D46C5B" w:rsidRDefault="00D46C5B" w:rsidP="00D46C5B">
      <w:pPr>
        <w:spacing w:after="0"/>
      </w:pPr>
    </w:p>
    <w:p w14:paraId="23E285CF" w14:textId="0EC7C9D0" w:rsidR="007A3665" w:rsidRDefault="007A3665" w:rsidP="00725130">
      <w:pPr>
        <w:numPr>
          <w:ilvl w:val="0"/>
          <w:numId w:val="34"/>
        </w:numPr>
        <w:tabs>
          <w:tab w:val="num" w:pos="720"/>
        </w:tabs>
        <w:spacing w:after="0"/>
        <w:ind w:left="720" w:hanging="720"/>
      </w:pPr>
      <w:r>
        <w:t>Officers consider that The Policy overall is fit for purpose but that improvements should be considered</w:t>
      </w:r>
      <w:r w:rsidR="00EB7BC8">
        <w:t>, to include:</w:t>
      </w:r>
    </w:p>
    <w:p w14:paraId="72925AA8" w14:textId="310D9EFB" w:rsidR="006B20E6" w:rsidRDefault="007A3665" w:rsidP="007A3665">
      <w:pPr>
        <w:pStyle w:val="ListParagraph"/>
        <w:numPr>
          <w:ilvl w:val="0"/>
          <w:numId w:val="44"/>
        </w:numPr>
        <w:spacing w:after="0"/>
        <w:ind w:left="1560"/>
      </w:pPr>
      <w:r>
        <w:t>Updating references made to  related documents</w:t>
      </w:r>
    </w:p>
    <w:p w14:paraId="64C9C186" w14:textId="0C238A5E" w:rsidR="007A3665" w:rsidRDefault="007A3665" w:rsidP="007A3665">
      <w:pPr>
        <w:pStyle w:val="ListParagraph"/>
        <w:numPr>
          <w:ilvl w:val="0"/>
          <w:numId w:val="44"/>
        </w:numPr>
        <w:spacing w:after="0"/>
        <w:ind w:left="1560"/>
      </w:pPr>
      <w:r>
        <w:t>Correcting errors</w:t>
      </w:r>
      <w:r w:rsidR="00AF34F8">
        <w:t xml:space="preserve"> or inconsistencies</w:t>
      </w:r>
    </w:p>
    <w:p w14:paraId="24A8FB66" w14:textId="77777777" w:rsidR="007A3665" w:rsidRDefault="007A3665" w:rsidP="007A3665">
      <w:pPr>
        <w:pStyle w:val="ListParagraph"/>
        <w:numPr>
          <w:ilvl w:val="0"/>
          <w:numId w:val="44"/>
        </w:numPr>
        <w:spacing w:after="0"/>
        <w:ind w:left="1560"/>
      </w:pPr>
      <w:r>
        <w:t>Improving clarity</w:t>
      </w:r>
    </w:p>
    <w:p w14:paraId="070A62DF" w14:textId="69F09C82" w:rsidR="007A3665" w:rsidRDefault="007A3665" w:rsidP="007A3665">
      <w:pPr>
        <w:pStyle w:val="ListParagraph"/>
        <w:numPr>
          <w:ilvl w:val="0"/>
          <w:numId w:val="44"/>
        </w:numPr>
        <w:spacing w:after="0"/>
        <w:ind w:left="1560"/>
      </w:pPr>
      <w:r>
        <w:t xml:space="preserve">Incorporating changes to other related regimes, policies </w:t>
      </w:r>
      <w:r w:rsidR="00EB7BC8">
        <w:t>and procedures</w:t>
      </w:r>
    </w:p>
    <w:p w14:paraId="77DCBAA1" w14:textId="04C49720" w:rsidR="00EB7BC8" w:rsidRDefault="00EB7BC8" w:rsidP="007A3665">
      <w:pPr>
        <w:pStyle w:val="ListParagraph"/>
        <w:numPr>
          <w:ilvl w:val="0"/>
          <w:numId w:val="44"/>
        </w:numPr>
        <w:spacing w:after="0"/>
        <w:ind w:left="1560"/>
      </w:pPr>
      <w:r>
        <w:lastRenderedPageBreak/>
        <w:t>Responding to comments from current Street Trading Consent holders, Consent process consultees and other stakeholders.</w:t>
      </w:r>
    </w:p>
    <w:p w14:paraId="3EE5CF8C" w14:textId="1554D1C7" w:rsidR="006B20E6" w:rsidRDefault="006B20E6" w:rsidP="00E22D0E">
      <w:pPr>
        <w:spacing w:after="0"/>
      </w:pPr>
    </w:p>
    <w:p w14:paraId="5703810F" w14:textId="16208529" w:rsidR="00EB7BC8" w:rsidRDefault="00EB7BC8" w:rsidP="00EF03C3">
      <w:pPr>
        <w:spacing w:after="0"/>
        <w:ind w:left="840" w:hanging="840"/>
        <w:jc w:val="both"/>
      </w:pPr>
      <w:r>
        <w:t>5.</w:t>
      </w:r>
      <w:r>
        <w:tab/>
      </w:r>
      <w:r w:rsidR="004E40D0">
        <w:t>Officers have begun work to address review tasks</w:t>
      </w:r>
      <w:r w:rsidR="00A90B65">
        <w:t xml:space="preserve"> and are devising a detailed review programme.</w:t>
      </w:r>
      <w:r w:rsidR="004E40D0">
        <w:t xml:space="preserve"> </w:t>
      </w:r>
      <w:r w:rsidR="00E22D0E">
        <w:t xml:space="preserve">This would include consideration by the Committee of a pre-consultation version of the revised Policy. </w:t>
      </w:r>
      <w:r w:rsidR="003A286A">
        <w:t xml:space="preserve">It is proposed that consideration of a pre-consultation version of the Policy </w:t>
      </w:r>
      <w:r w:rsidR="00E22D0E">
        <w:t xml:space="preserve">would require an </w:t>
      </w:r>
      <w:r w:rsidR="003A286A">
        <w:t>extraordinary</w:t>
      </w:r>
      <w:r w:rsidR="00E22D0E">
        <w:t xml:space="preserve"> meeting of </w:t>
      </w:r>
      <w:r w:rsidR="003A286A">
        <w:t xml:space="preserve">the </w:t>
      </w:r>
      <w:r w:rsidR="00E22D0E">
        <w:t>G</w:t>
      </w:r>
      <w:r w:rsidR="003A286A">
        <w:t xml:space="preserve">eneral </w:t>
      </w:r>
      <w:r w:rsidR="00E22D0E">
        <w:t>P</w:t>
      </w:r>
      <w:r w:rsidR="003A286A">
        <w:t xml:space="preserve">urposes </w:t>
      </w:r>
      <w:r w:rsidR="00E22D0E">
        <w:t>L</w:t>
      </w:r>
      <w:r w:rsidR="003A286A">
        <w:t>icensing Committee</w:t>
      </w:r>
      <w:r w:rsidR="00E22D0E">
        <w:t xml:space="preserve"> during October/November</w:t>
      </w:r>
      <w:r w:rsidR="003A286A">
        <w:t xml:space="preserve"> 2022</w:t>
      </w:r>
      <w:r w:rsidR="00E22D0E">
        <w:t xml:space="preserve">. </w:t>
      </w:r>
    </w:p>
    <w:p w14:paraId="5A0CD5D5" w14:textId="77777777" w:rsidR="003A286A" w:rsidRDefault="003A286A" w:rsidP="00E22D0E">
      <w:pPr>
        <w:spacing w:after="0"/>
        <w:ind w:left="840" w:hanging="840"/>
      </w:pPr>
    </w:p>
    <w:p w14:paraId="1A76D4BB" w14:textId="772DE6EF" w:rsidR="003A286A" w:rsidRDefault="003A286A" w:rsidP="00E22D0E">
      <w:pPr>
        <w:spacing w:after="0"/>
        <w:ind w:left="840" w:hanging="840"/>
      </w:pPr>
      <w:r>
        <w:t>6.</w:t>
      </w:r>
      <w:r>
        <w:tab/>
        <w:t>The proposed timeline for the Street Trading Policy Review is set out below:</w:t>
      </w:r>
    </w:p>
    <w:p w14:paraId="1355DDA3" w14:textId="0EBB03DD" w:rsidR="003A286A" w:rsidRDefault="003A286A" w:rsidP="004E40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812"/>
      </w:tblGrid>
      <w:tr w:rsidR="003A286A" w14:paraId="096A4921" w14:textId="77777777" w:rsidTr="00EF03C3">
        <w:trPr>
          <w:jc w:val="center"/>
        </w:trPr>
        <w:tc>
          <w:tcPr>
            <w:tcW w:w="1696" w:type="dxa"/>
          </w:tcPr>
          <w:p w14:paraId="633427E7" w14:textId="0DC9D98C" w:rsidR="003A286A" w:rsidRPr="00EF03C3" w:rsidRDefault="003A286A" w:rsidP="004E40D0">
            <w:pPr>
              <w:rPr>
                <w:b/>
              </w:rPr>
            </w:pPr>
            <w:r w:rsidRPr="00EF03C3">
              <w:rPr>
                <w:b/>
              </w:rPr>
              <w:t>Monday 26 September 2022</w:t>
            </w:r>
          </w:p>
        </w:tc>
        <w:tc>
          <w:tcPr>
            <w:tcW w:w="5812" w:type="dxa"/>
          </w:tcPr>
          <w:p w14:paraId="62EBC17A" w14:textId="57D70EAF" w:rsidR="003A286A" w:rsidRDefault="003A286A" w:rsidP="004E40D0">
            <w:r>
              <w:t>Report to General Purposes Licensing Committee setting out proposed timeline for review of the Street Trading Policy</w:t>
            </w:r>
          </w:p>
        </w:tc>
      </w:tr>
      <w:tr w:rsidR="003A286A" w14:paraId="38092A5F" w14:textId="77777777" w:rsidTr="00EF03C3">
        <w:trPr>
          <w:jc w:val="center"/>
        </w:trPr>
        <w:tc>
          <w:tcPr>
            <w:tcW w:w="1696" w:type="dxa"/>
          </w:tcPr>
          <w:p w14:paraId="4D84285E" w14:textId="378FF4C0" w:rsidR="003A286A" w:rsidRPr="00EF03C3" w:rsidRDefault="003A286A" w:rsidP="004E40D0">
            <w:pPr>
              <w:rPr>
                <w:b/>
              </w:rPr>
            </w:pPr>
            <w:r w:rsidRPr="00EF03C3">
              <w:rPr>
                <w:b/>
              </w:rPr>
              <w:t>October/</w:t>
            </w:r>
            <w:r w:rsidR="00EF03C3" w:rsidRPr="00EF03C3">
              <w:rPr>
                <w:b/>
              </w:rPr>
              <w:t xml:space="preserve"> </w:t>
            </w:r>
            <w:r w:rsidRPr="00EF03C3">
              <w:rPr>
                <w:b/>
              </w:rPr>
              <w:t>November 2022</w:t>
            </w:r>
            <w:r w:rsidR="00EF03C3">
              <w:rPr>
                <w:b/>
              </w:rPr>
              <w:t xml:space="preserve"> - </w:t>
            </w:r>
            <w:proofErr w:type="spellStart"/>
            <w:r w:rsidR="00EF03C3">
              <w:rPr>
                <w:b/>
              </w:rPr>
              <w:t>tbc</w:t>
            </w:r>
            <w:proofErr w:type="spellEnd"/>
          </w:p>
        </w:tc>
        <w:tc>
          <w:tcPr>
            <w:tcW w:w="5812" w:type="dxa"/>
          </w:tcPr>
          <w:p w14:paraId="620D6C86" w14:textId="78A84282" w:rsidR="003A286A" w:rsidRDefault="003A286A" w:rsidP="003A286A">
            <w:r>
              <w:t>Proposed extraordinary meeting of General Purposes Licensing Committee for consideration of pre-consultation draft Street Trading Policy</w:t>
            </w:r>
          </w:p>
        </w:tc>
      </w:tr>
      <w:tr w:rsidR="003A286A" w14:paraId="11B35614" w14:textId="77777777" w:rsidTr="00EF03C3">
        <w:trPr>
          <w:jc w:val="center"/>
        </w:trPr>
        <w:tc>
          <w:tcPr>
            <w:tcW w:w="1696" w:type="dxa"/>
          </w:tcPr>
          <w:p w14:paraId="13AE12AC" w14:textId="185A8335" w:rsidR="003A286A" w:rsidRPr="00EF03C3" w:rsidRDefault="003A286A" w:rsidP="004E40D0">
            <w:pPr>
              <w:rPr>
                <w:b/>
              </w:rPr>
            </w:pPr>
            <w:r w:rsidRPr="00EF03C3">
              <w:rPr>
                <w:b/>
              </w:rPr>
              <w:t>December 2022 – January 2023</w:t>
            </w:r>
          </w:p>
        </w:tc>
        <w:tc>
          <w:tcPr>
            <w:tcW w:w="5812" w:type="dxa"/>
          </w:tcPr>
          <w:p w14:paraId="180EFAAC" w14:textId="112B69A7" w:rsidR="003A286A" w:rsidRDefault="003A286A" w:rsidP="003A286A">
            <w:r>
              <w:t>Public consultation on revised Street Trading Policy</w:t>
            </w:r>
          </w:p>
        </w:tc>
      </w:tr>
      <w:tr w:rsidR="003A286A" w14:paraId="71C93FD6" w14:textId="77777777" w:rsidTr="00EF03C3">
        <w:trPr>
          <w:jc w:val="center"/>
        </w:trPr>
        <w:tc>
          <w:tcPr>
            <w:tcW w:w="1696" w:type="dxa"/>
          </w:tcPr>
          <w:p w14:paraId="73AD4E5E" w14:textId="3DB4A206" w:rsidR="003A286A" w:rsidRPr="00EF03C3" w:rsidRDefault="003A286A" w:rsidP="004E40D0">
            <w:pPr>
              <w:rPr>
                <w:b/>
              </w:rPr>
            </w:pPr>
            <w:r w:rsidRPr="00EF03C3">
              <w:rPr>
                <w:b/>
              </w:rPr>
              <w:t>Monday 06 February 2023</w:t>
            </w:r>
          </w:p>
        </w:tc>
        <w:tc>
          <w:tcPr>
            <w:tcW w:w="5812" w:type="dxa"/>
          </w:tcPr>
          <w:p w14:paraId="5AA4727E" w14:textId="171B23F8" w:rsidR="003A286A" w:rsidRDefault="003A286A" w:rsidP="003A286A">
            <w:r>
              <w:t>Consultation responses and proposed final version of revised Street Trading Policy considered by General Purposes Licensing Committee. Recommendation that the Committee recommends the Policy to Council for adoption.</w:t>
            </w:r>
          </w:p>
        </w:tc>
      </w:tr>
      <w:tr w:rsidR="003A286A" w14:paraId="2DC4275C" w14:textId="77777777" w:rsidTr="00EF03C3">
        <w:trPr>
          <w:jc w:val="center"/>
        </w:trPr>
        <w:tc>
          <w:tcPr>
            <w:tcW w:w="1696" w:type="dxa"/>
          </w:tcPr>
          <w:p w14:paraId="77181F3D" w14:textId="391228F9" w:rsidR="003A286A" w:rsidRPr="00EF03C3" w:rsidRDefault="00EF03C3" w:rsidP="004E40D0">
            <w:pPr>
              <w:rPr>
                <w:b/>
              </w:rPr>
            </w:pPr>
            <w:r w:rsidRPr="00EF03C3">
              <w:rPr>
                <w:b/>
              </w:rPr>
              <w:t>Monday 20 March 2023</w:t>
            </w:r>
          </w:p>
        </w:tc>
        <w:tc>
          <w:tcPr>
            <w:tcW w:w="5812" w:type="dxa"/>
          </w:tcPr>
          <w:p w14:paraId="73736A5B" w14:textId="6B7D1352" w:rsidR="003A286A" w:rsidRDefault="00EF03C3" w:rsidP="003A286A">
            <w:r>
              <w:t>Council meeting</w:t>
            </w:r>
          </w:p>
        </w:tc>
      </w:tr>
    </w:tbl>
    <w:p w14:paraId="18082276" w14:textId="7F30EF36" w:rsidR="006B20E6" w:rsidRDefault="006B20E6" w:rsidP="004E40D0"/>
    <w:p w14:paraId="5C39370A" w14:textId="4E8850EE" w:rsidR="006B20E6" w:rsidRDefault="00D6622F" w:rsidP="006B20E6">
      <w:pPr>
        <w:spacing w:after="0"/>
        <w:rPr>
          <w:b/>
        </w:rPr>
      </w:pPr>
      <w:r>
        <w:rPr>
          <w:b/>
        </w:rPr>
        <w:t xml:space="preserve">New </w:t>
      </w:r>
      <w:r w:rsidR="006B20E6" w:rsidRPr="006B20E6">
        <w:rPr>
          <w:b/>
        </w:rPr>
        <w:t>Pavement Licensing</w:t>
      </w:r>
      <w:r>
        <w:rPr>
          <w:b/>
        </w:rPr>
        <w:t xml:space="preserve"> provisions</w:t>
      </w:r>
    </w:p>
    <w:p w14:paraId="23AC8278" w14:textId="77777777" w:rsidR="006B20E6" w:rsidRDefault="006B20E6" w:rsidP="006B20E6">
      <w:pPr>
        <w:ind w:left="720" w:hanging="720"/>
      </w:pPr>
    </w:p>
    <w:p w14:paraId="42043696" w14:textId="51B36AAA" w:rsidR="00A05761" w:rsidRDefault="00D46C5B" w:rsidP="00EF03C3">
      <w:pPr>
        <w:ind w:left="720" w:hanging="720"/>
        <w:jc w:val="both"/>
      </w:pPr>
      <w:r>
        <w:t>6</w:t>
      </w:r>
      <w:r w:rsidR="006B20E6">
        <w:t>.</w:t>
      </w:r>
      <w:r w:rsidR="006B20E6">
        <w:tab/>
      </w:r>
      <w:r w:rsidR="00EF03C3">
        <w:t>On the 22</w:t>
      </w:r>
      <w:r w:rsidR="00A05761">
        <w:t xml:space="preserve"> July 2022 the Government </w:t>
      </w:r>
      <w:r w:rsidR="004E40D0">
        <w:t xml:space="preserve">brought in Regulations to </w:t>
      </w:r>
      <w:r w:rsidR="00862D81">
        <w:t>extend</w:t>
      </w:r>
      <w:r w:rsidR="00A05761">
        <w:t xml:space="preserve"> the period during which the </w:t>
      </w:r>
      <w:r w:rsidR="00FD66C4">
        <w:t xml:space="preserve">so called </w:t>
      </w:r>
      <w:r w:rsidR="00A05761">
        <w:t>Fast Track Pavement Licence provisi</w:t>
      </w:r>
      <w:r w:rsidR="00EF03C3">
        <w:t>ons continue to apply until 30</w:t>
      </w:r>
      <w:r w:rsidR="00A05761">
        <w:t xml:space="preserve"> September 2023. The </w:t>
      </w:r>
      <w:r w:rsidR="00FD66C4">
        <w:t xml:space="preserve">new Regulations </w:t>
      </w:r>
      <w:r w:rsidR="00A05761">
        <w:t>apply to appli</w:t>
      </w:r>
      <w:r w:rsidR="00EF03C3">
        <w:t>cations made on or after the 22</w:t>
      </w:r>
      <w:r w:rsidR="00A05761">
        <w:t xml:space="preserve"> July 2022, </w:t>
      </w:r>
      <w:r w:rsidR="00FD66C4">
        <w:t>with</w:t>
      </w:r>
      <w:r w:rsidR="00A05761">
        <w:t xml:space="preserve"> existing Pavement Licences expir</w:t>
      </w:r>
      <w:r w:rsidR="00FD66C4">
        <w:t>ing</w:t>
      </w:r>
      <w:r w:rsidR="00EF03C3">
        <w:t xml:space="preserve"> on the 30</w:t>
      </w:r>
      <w:r w:rsidR="00A05761">
        <w:t xml:space="preserve"> September 2022. Operators will therefore need to make an application in good time to continue to benefit from the provisions.</w:t>
      </w:r>
    </w:p>
    <w:p w14:paraId="56554831" w14:textId="702F1F47" w:rsidR="00A05761" w:rsidRDefault="00D46C5B" w:rsidP="00EF03C3">
      <w:pPr>
        <w:ind w:left="720" w:hanging="720"/>
        <w:jc w:val="both"/>
      </w:pPr>
      <w:r>
        <w:t>7</w:t>
      </w:r>
      <w:r w:rsidR="00A05761">
        <w:t>.</w:t>
      </w:r>
      <w:r w:rsidR="00A05761">
        <w:tab/>
        <w:t>These Regulations are a temporary measure to allow operators to continue to benefit from the Fas</w:t>
      </w:r>
      <w:r w:rsidR="00FD66C4">
        <w:t>t Track Pavement Licence regime</w:t>
      </w:r>
      <w:r w:rsidR="00A05761">
        <w:t>, pending the provisions in the Levelling Up and Regeneration Bill proceeding through Parliament</w:t>
      </w:r>
      <w:r w:rsidR="00FD66C4">
        <w:t xml:space="preserve">. The </w:t>
      </w:r>
      <w:r w:rsidR="00A05761">
        <w:t xml:space="preserve">Bill proposes </w:t>
      </w:r>
      <w:r w:rsidR="00FD66C4">
        <w:t>that</w:t>
      </w:r>
      <w:r w:rsidR="00A05761">
        <w:t xml:space="preserve"> the Fast Track Pavement Licence regime </w:t>
      </w:r>
      <w:r w:rsidR="00FD66C4">
        <w:t xml:space="preserve">is made </w:t>
      </w:r>
      <w:r w:rsidR="00A05761">
        <w:t>permanent</w:t>
      </w:r>
      <w:r w:rsidR="00862D81">
        <w:t>, subject</w:t>
      </w:r>
      <w:r w:rsidR="00A05761">
        <w:t xml:space="preserve"> to certain changes, for example </w:t>
      </w:r>
      <w:r w:rsidR="00FD66C4">
        <w:t>to</w:t>
      </w:r>
      <w:r w:rsidR="00A05761">
        <w:t xml:space="preserve"> application</w:t>
      </w:r>
      <w:r w:rsidR="00FD66C4">
        <w:t xml:space="preserve"> fees</w:t>
      </w:r>
      <w:r w:rsidR="00A05761">
        <w:t xml:space="preserve">, the consultation period and the </w:t>
      </w:r>
      <w:r w:rsidR="00FD66C4">
        <w:t>longevity of p</w:t>
      </w:r>
      <w:r w:rsidR="00A05761">
        <w:t>avement licence</w:t>
      </w:r>
      <w:r w:rsidR="00FD66C4">
        <w:t>s</w:t>
      </w:r>
      <w:r w:rsidR="00A05761">
        <w:t>.</w:t>
      </w:r>
    </w:p>
    <w:p w14:paraId="6D8B53C5" w14:textId="49DE65F0" w:rsidR="00A05761" w:rsidRDefault="00D46C5B" w:rsidP="00EF03C3">
      <w:pPr>
        <w:ind w:left="720" w:hanging="720"/>
        <w:jc w:val="both"/>
      </w:pPr>
      <w:r>
        <w:t>8</w:t>
      </w:r>
      <w:r w:rsidR="00A05761">
        <w:t>.</w:t>
      </w:r>
      <w:r w:rsidR="00A05761">
        <w:tab/>
      </w:r>
      <w:r w:rsidR="00031DA8">
        <w:t xml:space="preserve">At the time of writing </w:t>
      </w:r>
      <w:r w:rsidR="00A05761">
        <w:t xml:space="preserve">Officers anticipate </w:t>
      </w:r>
      <w:r w:rsidR="00031DA8">
        <w:t xml:space="preserve">around 80-90 </w:t>
      </w:r>
      <w:r w:rsidR="00A05761">
        <w:t>applications</w:t>
      </w:r>
      <w:r w:rsidR="00031DA8">
        <w:t xml:space="preserve"> by 30 September. </w:t>
      </w:r>
      <w:r w:rsidR="00B801F4">
        <w:t>Members may wish to note that a</w:t>
      </w:r>
      <w:r w:rsidR="00B801F4" w:rsidRPr="00B801F4">
        <w:t xml:space="preserve">s these provisions initiated a new burden on local authorities Government </w:t>
      </w:r>
      <w:r w:rsidR="002D59DB">
        <w:t xml:space="preserve">has applied a new burdens </w:t>
      </w:r>
      <w:r w:rsidR="00B801F4" w:rsidRPr="00B801F4">
        <w:t>doctrine</w:t>
      </w:r>
      <w:r w:rsidR="002D59DB">
        <w:t xml:space="preserve"> and awarded Grant funding</w:t>
      </w:r>
      <w:r w:rsidR="00B801F4" w:rsidRPr="00B801F4">
        <w:t xml:space="preserve">. </w:t>
      </w:r>
      <w:r w:rsidR="00B801F4">
        <w:t>A</w:t>
      </w:r>
      <w:r w:rsidR="002D59DB" w:rsidRPr="002D59DB">
        <w:t xml:space="preserve"> </w:t>
      </w:r>
      <w:r w:rsidR="002D59DB">
        <w:t>Section 30 G</w:t>
      </w:r>
      <w:r w:rsidR="00B801F4">
        <w:t xml:space="preserve">rant </w:t>
      </w:r>
      <w:r w:rsidR="002D59DB">
        <w:t xml:space="preserve">of </w:t>
      </w:r>
      <w:r w:rsidR="002D59DB" w:rsidRPr="002D59DB">
        <w:t>£5063</w:t>
      </w:r>
      <w:r w:rsidR="002D59DB">
        <w:t xml:space="preserve"> has been paid to the Council and is being used to support the Pavement Licensing function and other services impacted by its operation. </w:t>
      </w:r>
    </w:p>
    <w:p w14:paraId="7CE2C454" w14:textId="08126C52" w:rsidR="0040736F" w:rsidRPr="001356F1" w:rsidRDefault="00DA614B" w:rsidP="004A6D2F">
      <w:pPr>
        <w:pStyle w:val="Heading1"/>
      </w:pPr>
      <w:r w:rsidRPr="001356F1">
        <w:lastRenderedPageBreak/>
        <w:t>Legal issues</w:t>
      </w:r>
    </w:p>
    <w:p w14:paraId="73F38C89" w14:textId="754248DB" w:rsidR="002329CF" w:rsidRDefault="003D3E12" w:rsidP="00EF03C3">
      <w:pPr>
        <w:numPr>
          <w:ilvl w:val="0"/>
          <w:numId w:val="39"/>
        </w:numPr>
        <w:tabs>
          <w:tab w:val="clear" w:pos="1080"/>
          <w:tab w:val="num" w:pos="851"/>
        </w:tabs>
        <w:spacing w:after="0"/>
        <w:ind w:left="851" w:hanging="851"/>
        <w:jc w:val="both"/>
      </w:pPr>
      <w:r>
        <w:t xml:space="preserve">The </w:t>
      </w:r>
      <w:r w:rsidR="00A90B65">
        <w:t xml:space="preserve">Street Trading Policy Review brings an opportunity to check on current legislation and best practice and ensure that the Council meet </w:t>
      </w:r>
      <w:r w:rsidR="00862D81">
        <w:t>legal</w:t>
      </w:r>
      <w:r w:rsidR="00A90B65">
        <w:t xml:space="preserve"> requirements. </w:t>
      </w:r>
    </w:p>
    <w:p w14:paraId="6D41C1F7" w14:textId="77777777" w:rsidR="00EF03C3" w:rsidRDefault="00EF03C3" w:rsidP="00EF03C3">
      <w:pPr>
        <w:spacing w:after="0"/>
        <w:ind w:left="851"/>
      </w:pPr>
    </w:p>
    <w:p w14:paraId="6163683E" w14:textId="77777777" w:rsidR="003D3E12" w:rsidRDefault="003D3E12" w:rsidP="004A6D2F">
      <w:pPr>
        <w:rPr>
          <w:b/>
        </w:rPr>
      </w:pPr>
      <w:r>
        <w:rPr>
          <w:b/>
        </w:rPr>
        <w:t>Finance Issues</w:t>
      </w:r>
    </w:p>
    <w:p w14:paraId="52D690AF" w14:textId="49212269" w:rsidR="00A90B65" w:rsidRDefault="003921B6" w:rsidP="00EF03C3">
      <w:pPr>
        <w:tabs>
          <w:tab w:val="num" w:pos="851"/>
        </w:tabs>
        <w:ind w:left="720" w:hanging="720"/>
        <w:jc w:val="both"/>
      </w:pPr>
      <w:r>
        <w:t>8.</w:t>
      </w:r>
      <w:r>
        <w:tab/>
      </w:r>
      <w:r w:rsidR="004A1568">
        <w:t xml:space="preserve">The </w:t>
      </w:r>
      <w:r w:rsidR="00A90B65">
        <w:t>New Burden Section 30 Grant will help to offset increased workload pressures if used to bring in temporary staff resource at no net cost to the Council.</w:t>
      </w:r>
    </w:p>
    <w:p w14:paraId="6B0FEAA6" w14:textId="77777777" w:rsidR="00EF03C3" w:rsidRDefault="00EF03C3" w:rsidP="00EF03C3">
      <w:pPr>
        <w:tabs>
          <w:tab w:val="num" w:pos="851"/>
        </w:tabs>
        <w:ind w:left="720" w:hanging="720"/>
        <w:jc w:val="both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710"/>
        <w:gridCol w:w="5460"/>
      </w:tblGrid>
      <w:tr w:rsidR="00DF093E" w:rsidRPr="001356F1" w14:paraId="6D221003" w14:textId="77777777" w:rsidTr="0070224B">
        <w:trPr>
          <w:cantSplit/>
          <w:trHeight w:val="396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217426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19306" w14:textId="77777777" w:rsidR="00E87F7A" w:rsidRPr="000D6E28" w:rsidRDefault="00CA26EE" w:rsidP="00A46E98">
            <w:pPr>
              <w:rPr>
                <w:b/>
              </w:rPr>
            </w:pPr>
            <w:r>
              <w:rPr>
                <w:b/>
              </w:rPr>
              <w:t>David Stevens</w:t>
            </w:r>
          </w:p>
        </w:tc>
      </w:tr>
      <w:tr w:rsidR="00DF093E" w:rsidRPr="001356F1" w14:paraId="16F19852" w14:textId="77777777" w:rsidTr="0070224B">
        <w:trPr>
          <w:cantSplit/>
          <w:trHeight w:val="396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CD4431" w14:textId="23D51497" w:rsidR="00E87F7A" w:rsidRPr="001356F1" w:rsidRDefault="0070224B" w:rsidP="00A46E98">
            <w:r>
              <w:t>Job title: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4CEB5F" w14:textId="77777777" w:rsidR="00D32A2D" w:rsidRDefault="00D32A2D" w:rsidP="00CA26EE">
            <w:pPr>
              <w:rPr>
                <w:b/>
              </w:rPr>
            </w:pPr>
            <w:r>
              <w:rPr>
                <w:b/>
              </w:rPr>
              <w:t>Principal Lead Officer</w:t>
            </w:r>
          </w:p>
          <w:p w14:paraId="33BDE471" w14:textId="0D182014" w:rsidR="00E87F7A" w:rsidRPr="000D6E28" w:rsidRDefault="00CA26EE" w:rsidP="00D32A2D">
            <w:pPr>
              <w:rPr>
                <w:b/>
              </w:rPr>
            </w:pPr>
            <w:r>
              <w:rPr>
                <w:b/>
              </w:rPr>
              <w:t>Business Regulation</w:t>
            </w:r>
            <w:r w:rsidR="000D6E28" w:rsidRPr="000D6E28">
              <w:rPr>
                <w:b/>
              </w:rPr>
              <w:t xml:space="preserve"> Team </w:t>
            </w:r>
          </w:p>
        </w:tc>
      </w:tr>
      <w:tr w:rsidR="00DF093E" w:rsidRPr="001356F1" w14:paraId="42344FAF" w14:textId="77777777" w:rsidTr="0070224B">
        <w:trPr>
          <w:cantSplit/>
          <w:trHeight w:val="396"/>
        </w:trPr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D6D5063" w14:textId="4083A0F8" w:rsidR="00E87F7A" w:rsidRPr="001356F1" w:rsidRDefault="0070224B" w:rsidP="00A46E98">
            <w:r>
              <w:t>Service area: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B1D48E" w14:textId="77777777" w:rsidR="00E87F7A" w:rsidRPr="000D6E28" w:rsidRDefault="00552997" w:rsidP="00A46E98">
            <w:pPr>
              <w:rPr>
                <w:b/>
              </w:rPr>
            </w:pPr>
            <w:r>
              <w:rPr>
                <w:b/>
              </w:rPr>
              <w:t>Regulatory Services and Community Safety</w:t>
            </w:r>
          </w:p>
        </w:tc>
      </w:tr>
      <w:tr w:rsidR="00DF093E" w:rsidRPr="001356F1" w14:paraId="05AD3B22" w14:textId="77777777" w:rsidTr="0070224B">
        <w:trPr>
          <w:cantSplit/>
          <w:trHeight w:val="396"/>
        </w:trPr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BE1CF67" w14:textId="14C30FA1" w:rsidR="00E87F7A" w:rsidRPr="001356F1" w:rsidRDefault="0070224B" w:rsidP="00A46E98">
            <w:r>
              <w:t>Telephone: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0DE92A9" w14:textId="77777777" w:rsidR="00E87F7A" w:rsidRPr="000D6E28" w:rsidRDefault="00E87F7A" w:rsidP="003356D5">
            <w:pPr>
              <w:rPr>
                <w:b/>
              </w:rPr>
            </w:pPr>
            <w:r w:rsidRPr="000D6E28">
              <w:rPr>
                <w:b/>
              </w:rPr>
              <w:t xml:space="preserve">01865 </w:t>
            </w:r>
            <w:r w:rsidR="000D6E28" w:rsidRPr="003356D5">
              <w:rPr>
                <w:b/>
              </w:rPr>
              <w:t>2525</w:t>
            </w:r>
            <w:r w:rsidR="003356D5" w:rsidRPr="003356D5">
              <w:rPr>
                <w:b/>
              </w:rPr>
              <w:t>5</w:t>
            </w:r>
            <w:r w:rsidR="000D6E28" w:rsidRPr="003356D5">
              <w:rPr>
                <w:b/>
              </w:rPr>
              <w:t>6</w:t>
            </w:r>
          </w:p>
        </w:tc>
      </w:tr>
      <w:tr w:rsidR="005570B5" w:rsidRPr="001356F1" w14:paraId="47AA7A51" w14:textId="77777777" w:rsidTr="0070224B">
        <w:trPr>
          <w:cantSplit/>
          <w:trHeight w:val="396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C243BE" w14:textId="0643C052" w:rsidR="00E87F7A" w:rsidRPr="001356F1" w:rsidRDefault="0070224B" w:rsidP="00A46E98">
            <w:r>
              <w:t>Email:</w:t>
            </w:r>
            <w:bookmarkStart w:id="0" w:name="_GoBack"/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DB94B" w14:textId="77777777" w:rsidR="00CA26EE" w:rsidRPr="001356F1" w:rsidRDefault="0070224B" w:rsidP="00CA26EE">
            <w:pPr>
              <w:rPr>
                <w:rStyle w:val="Hyperlink"/>
                <w:color w:val="000000"/>
              </w:rPr>
            </w:pPr>
            <w:hyperlink r:id="rId8" w:history="1">
              <w:r w:rsidR="00CA26EE" w:rsidRPr="00861CD8">
                <w:rPr>
                  <w:rStyle w:val="Hyperlink"/>
                </w:rPr>
                <w:t>dstevens@oxford.gov.uk</w:t>
              </w:r>
            </w:hyperlink>
          </w:p>
        </w:tc>
      </w:tr>
    </w:tbl>
    <w:p w14:paraId="722349DE" w14:textId="77777777" w:rsidR="00A4626B" w:rsidRDefault="00A4626B" w:rsidP="0093067A"/>
    <w:p w14:paraId="2EABDEC1" w14:textId="77777777" w:rsidR="002D07F0" w:rsidRDefault="002D07F0" w:rsidP="00D46C5B">
      <w:pPr>
        <w:spacing w:after="0" w:line="360" w:lineRule="auto"/>
        <w:jc w:val="center"/>
        <w:rPr>
          <w:rFonts w:eastAsiaTheme="minorHAnsi" w:cs="Arial"/>
          <w:b/>
          <w:color w:val="auto"/>
          <w:sz w:val="32"/>
          <w:szCs w:val="32"/>
          <w:lang w:eastAsia="en-US"/>
        </w:rPr>
      </w:pPr>
    </w:p>
    <w:p w14:paraId="47154ED9" w14:textId="77777777" w:rsidR="00D46C5B" w:rsidRPr="00D46C5B" w:rsidRDefault="00D46C5B" w:rsidP="00D46C5B">
      <w:pPr>
        <w:spacing w:after="0" w:line="360" w:lineRule="auto"/>
        <w:jc w:val="both"/>
        <w:rPr>
          <w:rFonts w:eastAsiaTheme="minorHAnsi" w:cs="Arial"/>
          <w:color w:val="auto"/>
          <w:lang w:eastAsia="en-US"/>
        </w:rPr>
      </w:pPr>
    </w:p>
    <w:p w14:paraId="0C8B1973" w14:textId="77777777" w:rsidR="00D46C5B" w:rsidRPr="008F3931" w:rsidRDefault="00D46C5B" w:rsidP="008F3931"/>
    <w:sectPr w:rsidR="00D46C5B" w:rsidRPr="008F3931" w:rsidSect="001D58AF">
      <w:footerReference w:type="even" r:id="rId9"/>
      <w:headerReference w:type="first" r:id="rId10"/>
      <w:footerReference w:type="first" r:id="rId11"/>
      <w:pgSz w:w="11906" w:h="16838" w:code="9"/>
      <w:pgMar w:top="993" w:right="1304" w:bottom="993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2ED2" w14:textId="77777777" w:rsidR="00A024F7" w:rsidRDefault="00A024F7" w:rsidP="004A6D2F">
      <w:r>
        <w:separator/>
      </w:r>
    </w:p>
  </w:endnote>
  <w:endnote w:type="continuationSeparator" w:id="0">
    <w:p w14:paraId="57B0E6CD" w14:textId="77777777" w:rsidR="00A024F7" w:rsidRDefault="00A024F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760A" w14:textId="77777777" w:rsidR="00364FAD" w:rsidRDefault="00364FAD" w:rsidP="004A6D2F">
    <w:pPr>
      <w:pStyle w:val="Footer"/>
    </w:pPr>
    <w:r>
      <w:t>Do not use a footer or page numbers.</w:t>
    </w:r>
  </w:p>
  <w:p w14:paraId="526CFCCD" w14:textId="77777777" w:rsidR="00364FAD" w:rsidRDefault="00364FAD" w:rsidP="004A6D2F">
    <w:pPr>
      <w:pStyle w:val="Footer"/>
    </w:pPr>
  </w:p>
  <w:p w14:paraId="3A2B33E5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774E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F9BD" w14:textId="77777777" w:rsidR="00A024F7" w:rsidRDefault="00A024F7" w:rsidP="004A6D2F">
      <w:r>
        <w:separator/>
      </w:r>
    </w:p>
  </w:footnote>
  <w:footnote w:type="continuationSeparator" w:id="0">
    <w:p w14:paraId="23E5C69A" w14:textId="77777777" w:rsidR="00A024F7" w:rsidRDefault="00A024F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566A" w14:textId="77777777"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 wp14:anchorId="6A5033C0" wp14:editId="21DE302F">
          <wp:extent cx="843280" cy="1117600"/>
          <wp:effectExtent l="0" t="0" r="0" b="6350"/>
          <wp:docPr id="2" name="Picture 2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8096A40"/>
    <w:multiLevelType w:val="hybridMultilevel"/>
    <w:tmpl w:val="B576F4D6"/>
    <w:lvl w:ilvl="0" w:tplc="0A4687C0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E3953"/>
    <w:multiLevelType w:val="hybridMultilevel"/>
    <w:tmpl w:val="5C966C5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87A2E84"/>
    <w:multiLevelType w:val="hybridMultilevel"/>
    <w:tmpl w:val="8D58CB9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1A557659"/>
    <w:multiLevelType w:val="hybridMultilevel"/>
    <w:tmpl w:val="84DECD3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EE44DF"/>
    <w:multiLevelType w:val="hybridMultilevel"/>
    <w:tmpl w:val="C11A9FB2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263A6A"/>
    <w:multiLevelType w:val="multilevel"/>
    <w:tmpl w:val="43D6D2FA"/>
    <w:numStyleLink w:val="StyleBulletedSymbolsymbolLeft063cmHanging063cm"/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D3FCC"/>
    <w:multiLevelType w:val="hybridMultilevel"/>
    <w:tmpl w:val="924AC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0596"/>
    <w:multiLevelType w:val="hybridMultilevel"/>
    <w:tmpl w:val="9738A7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9C71CA5"/>
    <w:multiLevelType w:val="hybridMultilevel"/>
    <w:tmpl w:val="33A498FA"/>
    <w:lvl w:ilvl="0" w:tplc="0E5C26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65116"/>
    <w:multiLevelType w:val="hybridMultilevel"/>
    <w:tmpl w:val="2320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65ACE"/>
    <w:multiLevelType w:val="hybridMultilevel"/>
    <w:tmpl w:val="B828729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1F77D5"/>
    <w:multiLevelType w:val="hybridMultilevel"/>
    <w:tmpl w:val="0B7E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A5FD8"/>
    <w:multiLevelType w:val="multilevel"/>
    <w:tmpl w:val="43D6D2FA"/>
    <w:numStyleLink w:val="StyleBulletedSymbolsymbolLeft063cmHanging063cm"/>
  </w:abstractNum>
  <w:abstractNum w:abstractNumId="3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22831"/>
    <w:multiLevelType w:val="multilevel"/>
    <w:tmpl w:val="43D6D2FA"/>
    <w:numStyleLink w:val="StyleBulletedSymbolsymbolLeft063cmHanging063cm"/>
  </w:abstractNum>
  <w:abstractNum w:abstractNumId="4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25974"/>
    <w:multiLevelType w:val="hybridMultilevel"/>
    <w:tmpl w:val="04E0660A"/>
    <w:lvl w:ilvl="0" w:tplc="5FC4593C">
      <w:start w:val="9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114E13"/>
    <w:multiLevelType w:val="hybridMultilevel"/>
    <w:tmpl w:val="0128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0427B"/>
    <w:multiLevelType w:val="hybridMultilevel"/>
    <w:tmpl w:val="6436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365C6"/>
    <w:multiLevelType w:val="multilevel"/>
    <w:tmpl w:val="28E06E50"/>
    <w:lvl w:ilvl="0">
      <w:start w:val="6"/>
      <w:numFmt w:val="decimal"/>
      <w:pStyle w:val="ListParagraph"/>
      <w:lvlText w:val="%1."/>
      <w:lvlJc w:val="left"/>
      <w:pPr>
        <w:ind w:left="2064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7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hint="default"/>
      </w:rPr>
    </w:lvl>
  </w:abstractNum>
  <w:abstractNum w:abstractNumId="47">
    <w:nsid w:val="7EEE4161"/>
    <w:multiLevelType w:val="hybridMultilevel"/>
    <w:tmpl w:val="EF146430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5"/>
  </w:num>
  <w:num w:numId="2">
    <w:abstractNumId w:val="41"/>
  </w:num>
  <w:num w:numId="3">
    <w:abstractNumId w:val="28"/>
  </w:num>
  <w:num w:numId="4">
    <w:abstractNumId w:val="23"/>
  </w:num>
  <w:num w:numId="5">
    <w:abstractNumId w:val="38"/>
  </w:num>
  <w:num w:numId="6">
    <w:abstractNumId w:val="43"/>
  </w:num>
  <w:num w:numId="7">
    <w:abstractNumId w:val="27"/>
  </w:num>
  <w:num w:numId="8">
    <w:abstractNumId w:val="25"/>
  </w:num>
  <w:num w:numId="9">
    <w:abstractNumId w:val="14"/>
  </w:num>
  <w:num w:numId="10">
    <w:abstractNumId w:val="20"/>
  </w:num>
  <w:num w:numId="11">
    <w:abstractNumId w:val="32"/>
  </w:num>
  <w:num w:numId="12">
    <w:abstractNumId w:val="29"/>
  </w:num>
  <w:num w:numId="13">
    <w:abstractNumId w:val="10"/>
  </w:num>
  <w:num w:numId="14">
    <w:abstractNumId w:val="46"/>
  </w:num>
  <w:num w:numId="15">
    <w:abstractNumId w:val="21"/>
  </w:num>
  <w:num w:numId="16">
    <w:abstractNumId w:val="11"/>
  </w:num>
  <w:num w:numId="17">
    <w:abstractNumId w:val="37"/>
  </w:num>
  <w:num w:numId="18">
    <w:abstractNumId w:val="12"/>
  </w:num>
  <w:num w:numId="19">
    <w:abstractNumId w:val="39"/>
  </w:num>
  <w:num w:numId="20">
    <w:abstractNumId w:val="22"/>
  </w:num>
  <w:num w:numId="21">
    <w:abstractNumId w:val="26"/>
  </w:num>
  <w:num w:numId="22">
    <w:abstractNumId w:val="15"/>
  </w:num>
  <w:num w:numId="23">
    <w:abstractNumId w:val="4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4"/>
  </w:num>
  <w:num w:numId="41">
    <w:abstractNumId w:val="30"/>
  </w:num>
  <w:num w:numId="42">
    <w:abstractNumId w:val="16"/>
  </w:num>
  <w:num w:numId="43">
    <w:abstractNumId w:val="44"/>
  </w:num>
  <w:num w:numId="44">
    <w:abstractNumId w:val="17"/>
  </w:num>
  <w:num w:numId="45">
    <w:abstractNumId w:val="47"/>
  </w:num>
  <w:num w:numId="46">
    <w:abstractNumId w:val="45"/>
  </w:num>
  <w:num w:numId="47">
    <w:abstractNumId w:val="24"/>
  </w:num>
  <w:num w:numId="48">
    <w:abstractNumId w:val="36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0/05/2022 17:48"/>
  </w:docVars>
  <w:rsids>
    <w:rsidRoot w:val="00FE5758"/>
    <w:rsid w:val="00001ADC"/>
    <w:rsid w:val="000117D4"/>
    <w:rsid w:val="00015AFD"/>
    <w:rsid w:val="000314D7"/>
    <w:rsid w:val="00031DA8"/>
    <w:rsid w:val="00045891"/>
    <w:rsid w:val="00045F8B"/>
    <w:rsid w:val="00046D2B"/>
    <w:rsid w:val="000515B9"/>
    <w:rsid w:val="00056263"/>
    <w:rsid w:val="00061E35"/>
    <w:rsid w:val="00064D8A"/>
    <w:rsid w:val="00064F82"/>
    <w:rsid w:val="00066510"/>
    <w:rsid w:val="00077523"/>
    <w:rsid w:val="0008077F"/>
    <w:rsid w:val="000B6C68"/>
    <w:rsid w:val="000C089F"/>
    <w:rsid w:val="000C3928"/>
    <w:rsid w:val="000C5E8E"/>
    <w:rsid w:val="000D6E28"/>
    <w:rsid w:val="000F3FAF"/>
    <w:rsid w:val="000F4751"/>
    <w:rsid w:val="0010524C"/>
    <w:rsid w:val="00111FB1"/>
    <w:rsid w:val="00113418"/>
    <w:rsid w:val="001356F1"/>
    <w:rsid w:val="00136994"/>
    <w:rsid w:val="00137D4C"/>
    <w:rsid w:val="0014128E"/>
    <w:rsid w:val="0014219C"/>
    <w:rsid w:val="00151888"/>
    <w:rsid w:val="001545CF"/>
    <w:rsid w:val="00170A2D"/>
    <w:rsid w:val="001808BC"/>
    <w:rsid w:val="00182B81"/>
    <w:rsid w:val="0018619D"/>
    <w:rsid w:val="00186573"/>
    <w:rsid w:val="00186A38"/>
    <w:rsid w:val="00190FA0"/>
    <w:rsid w:val="001A011E"/>
    <w:rsid w:val="001A066A"/>
    <w:rsid w:val="001A13E6"/>
    <w:rsid w:val="001A5731"/>
    <w:rsid w:val="001B42C3"/>
    <w:rsid w:val="001C5D5E"/>
    <w:rsid w:val="001D58AF"/>
    <w:rsid w:val="001D678D"/>
    <w:rsid w:val="001E02AD"/>
    <w:rsid w:val="001E03F8"/>
    <w:rsid w:val="001E1678"/>
    <w:rsid w:val="001E1DB1"/>
    <w:rsid w:val="001E3376"/>
    <w:rsid w:val="001F64B1"/>
    <w:rsid w:val="002069B3"/>
    <w:rsid w:val="00226073"/>
    <w:rsid w:val="002329CF"/>
    <w:rsid w:val="00232F5B"/>
    <w:rsid w:val="00245066"/>
    <w:rsid w:val="00247C29"/>
    <w:rsid w:val="002569A7"/>
    <w:rsid w:val="00260467"/>
    <w:rsid w:val="00263EA3"/>
    <w:rsid w:val="00284F85"/>
    <w:rsid w:val="00290915"/>
    <w:rsid w:val="002A22E2"/>
    <w:rsid w:val="002C001A"/>
    <w:rsid w:val="002C64F7"/>
    <w:rsid w:val="002D07F0"/>
    <w:rsid w:val="002D4235"/>
    <w:rsid w:val="002D59DB"/>
    <w:rsid w:val="002D7E49"/>
    <w:rsid w:val="002F1305"/>
    <w:rsid w:val="002F41F2"/>
    <w:rsid w:val="00301BF3"/>
    <w:rsid w:val="0030208D"/>
    <w:rsid w:val="00323418"/>
    <w:rsid w:val="003356D5"/>
    <w:rsid w:val="003357BF"/>
    <w:rsid w:val="00364FAD"/>
    <w:rsid w:val="0036738F"/>
    <w:rsid w:val="003673F7"/>
    <w:rsid w:val="0036759C"/>
    <w:rsid w:val="00367AE5"/>
    <w:rsid w:val="00367D71"/>
    <w:rsid w:val="0038150A"/>
    <w:rsid w:val="00386D12"/>
    <w:rsid w:val="003921B6"/>
    <w:rsid w:val="003A024C"/>
    <w:rsid w:val="003A286A"/>
    <w:rsid w:val="003B6E75"/>
    <w:rsid w:val="003B7DA1"/>
    <w:rsid w:val="003C6E0C"/>
    <w:rsid w:val="003D0379"/>
    <w:rsid w:val="003D2574"/>
    <w:rsid w:val="003D3E12"/>
    <w:rsid w:val="003D4C59"/>
    <w:rsid w:val="003F2CB0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1568"/>
    <w:rsid w:val="004A2AC7"/>
    <w:rsid w:val="004A6D2F"/>
    <w:rsid w:val="004C2887"/>
    <w:rsid w:val="004D2626"/>
    <w:rsid w:val="004D481B"/>
    <w:rsid w:val="004D6E26"/>
    <w:rsid w:val="004D77D3"/>
    <w:rsid w:val="004E2959"/>
    <w:rsid w:val="004E40D0"/>
    <w:rsid w:val="004F20EF"/>
    <w:rsid w:val="004F41CC"/>
    <w:rsid w:val="00500AEE"/>
    <w:rsid w:val="0050321C"/>
    <w:rsid w:val="00506FF7"/>
    <w:rsid w:val="0054712D"/>
    <w:rsid w:val="00547EF6"/>
    <w:rsid w:val="00552997"/>
    <w:rsid w:val="005570B5"/>
    <w:rsid w:val="00563BED"/>
    <w:rsid w:val="00567E18"/>
    <w:rsid w:val="00575F5F"/>
    <w:rsid w:val="00581805"/>
    <w:rsid w:val="00585F76"/>
    <w:rsid w:val="005A0AD2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54B13"/>
    <w:rsid w:val="00661D3E"/>
    <w:rsid w:val="00671705"/>
    <w:rsid w:val="006870A6"/>
    <w:rsid w:val="00692627"/>
    <w:rsid w:val="006969E7"/>
    <w:rsid w:val="006A3643"/>
    <w:rsid w:val="006B20E6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0224B"/>
    <w:rsid w:val="00713675"/>
    <w:rsid w:val="00715823"/>
    <w:rsid w:val="00726D79"/>
    <w:rsid w:val="00735B85"/>
    <w:rsid w:val="00737B93"/>
    <w:rsid w:val="00745BF0"/>
    <w:rsid w:val="00755A69"/>
    <w:rsid w:val="007615FE"/>
    <w:rsid w:val="0076655C"/>
    <w:rsid w:val="00766B71"/>
    <w:rsid w:val="007717E4"/>
    <w:rsid w:val="007742DC"/>
    <w:rsid w:val="00791437"/>
    <w:rsid w:val="007A3665"/>
    <w:rsid w:val="007A6122"/>
    <w:rsid w:val="007B0C2C"/>
    <w:rsid w:val="007B278E"/>
    <w:rsid w:val="007B5CF9"/>
    <w:rsid w:val="007C5C23"/>
    <w:rsid w:val="007E29F1"/>
    <w:rsid w:val="007E2A26"/>
    <w:rsid w:val="007F2348"/>
    <w:rsid w:val="00803F07"/>
    <w:rsid w:val="00804036"/>
    <w:rsid w:val="0080749A"/>
    <w:rsid w:val="00821FB8"/>
    <w:rsid w:val="00822ACD"/>
    <w:rsid w:val="00832E5D"/>
    <w:rsid w:val="0085054A"/>
    <w:rsid w:val="00853FB3"/>
    <w:rsid w:val="00855C66"/>
    <w:rsid w:val="008618CB"/>
    <w:rsid w:val="00862D81"/>
    <w:rsid w:val="00871EE4"/>
    <w:rsid w:val="0088400E"/>
    <w:rsid w:val="008A43AA"/>
    <w:rsid w:val="008B281B"/>
    <w:rsid w:val="008B293F"/>
    <w:rsid w:val="008B7371"/>
    <w:rsid w:val="008D3DDB"/>
    <w:rsid w:val="008E06EF"/>
    <w:rsid w:val="008F1A27"/>
    <w:rsid w:val="008F3931"/>
    <w:rsid w:val="008F573F"/>
    <w:rsid w:val="009034EC"/>
    <w:rsid w:val="0093067A"/>
    <w:rsid w:val="00940400"/>
    <w:rsid w:val="00941C60"/>
    <w:rsid w:val="00941FD1"/>
    <w:rsid w:val="00966D42"/>
    <w:rsid w:val="00971689"/>
    <w:rsid w:val="00973E90"/>
    <w:rsid w:val="00975B07"/>
    <w:rsid w:val="00980B4A"/>
    <w:rsid w:val="009A1677"/>
    <w:rsid w:val="009B6D9D"/>
    <w:rsid w:val="009E3D0A"/>
    <w:rsid w:val="009E51FC"/>
    <w:rsid w:val="009F1D28"/>
    <w:rsid w:val="009F7618"/>
    <w:rsid w:val="00A024F7"/>
    <w:rsid w:val="00A04D23"/>
    <w:rsid w:val="00A05761"/>
    <w:rsid w:val="00A06766"/>
    <w:rsid w:val="00A13765"/>
    <w:rsid w:val="00A21B12"/>
    <w:rsid w:val="00A23F80"/>
    <w:rsid w:val="00A25351"/>
    <w:rsid w:val="00A4626B"/>
    <w:rsid w:val="00A46E98"/>
    <w:rsid w:val="00A578F3"/>
    <w:rsid w:val="00A6352B"/>
    <w:rsid w:val="00A701B5"/>
    <w:rsid w:val="00A714BB"/>
    <w:rsid w:val="00A77147"/>
    <w:rsid w:val="00A90B65"/>
    <w:rsid w:val="00A92D8F"/>
    <w:rsid w:val="00AA25CA"/>
    <w:rsid w:val="00AB2988"/>
    <w:rsid w:val="00AB7999"/>
    <w:rsid w:val="00AD3292"/>
    <w:rsid w:val="00AD7D23"/>
    <w:rsid w:val="00AE7AF0"/>
    <w:rsid w:val="00AF34F8"/>
    <w:rsid w:val="00B225E7"/>
    <w:rsid w:val="00B500CA"/>
    <w:rsid w:val="00B50460"/>
    <w:rsid w:val="00B621E9"/>
    <w:rsid w:val="00B75D23"/>
    <w:rsid w:val="00B801F4"/>
    <w:rsid w:val="00B86314"/>
    <w:rsid w:val="00BA1C2E"/>
    <w:rsid w:val="00BC200B"/>
    <w:rsid w:val="00BC4756"/>
    <w:rsid w:val="00BC69A4"/>
    <w:rsid w:val="00BE0680"/>
    <w:rsid w:val="00BE0F18"/>
    <w:rsid w:val="00BE305F"/>
    <w:rsid w:val="00BE7BA3"/>
    <w:rsid w:val="00BF5682"/>
    <w:rsid w:val="00BF7B09"/>
    <w:rsid w:val="00C17549"/>
    <w:rsid w:val="00C20A95"/>
    <w:rsid w:val="00C2692F"/>
    <w:rsid w:val="00C3207C"/>
    <w:rsid w:val="00C33168"/>
    <w:rsid w:val="00C400E1"/>
    <w:rsid w:val="00C41187"/>
    <w:rsid w:val="00C44BAE"/>
    <w:rsid w:val="00C63C31"/>
    <w:rsid w:val="00C757A0"/>
    <w:rsid w:val="00C760DE"/>
    <w:rsid w:val="00C82630"/>
    <w:rsid w:val="00C8291A"/>
    <w:rsid w:val="00C85B4E"/>
    <w:rsid w:val="00C907F7"/>
    <w:rsid w:val="00CA2103"/>
    <w:rsid w:val="00CA26EE"/>
    <w:rsid w:val="00CB6B99"/>
    <w:rsid w:val="00CB7549"/>
    <w:rsid w:val="00CC426B"/>
    <w:rsid w:val="00CE42E3"/>
    <w:rsid w:val="00CE4C87"/>
    <w:rsid w:val="00CE544A"/>
    <w:rsid w:val="00CE7A26"/>
    <w:rsid w:val="00D01688"/>
    <w:rsid w:val="00D11E1C"/>
    <w:rsid w:val="00D160B0"/>
    <w:rsid w:val="00D17F94"/>
    <w:rsid w:val="00D223FC"/>
    <w:rsid w:val="00D26D1E"/>
    <w:rsid w:val="00D32A2D"/>
    <w:rsid w:val="00D46C5B"/>
    <w:rsid w:val="00D474CF"/>
    <w:rsid w:val="00D5547E"/>
    <w:rsid w:val="00D57F03"/>
    <w:rsid w:val="00D61EE9"/>
    <w:rsid w:val="00D6622F"/>
    <w:rsid w:val="00D6640B"/>
    <w:rsid w:val="00D73AAA"/>
    <w:rsid w:val="00D73BBE"/>
    <w:rsid w:val="00D869A1"/>
    <w:rsid w:val="00DA413F"/>
    <w:rsid w:val="00DA4584"/>
    <w:rsid w:val="00DA614B"/>
    <w:rsid w:val="00DC2A04"/>
    <w:rsid w:val="00DC3060"/>
    <w:rsid w:val="00DE0FB2"/>
    <w:rsid w:val="00DF093E"/>
    <w:rsid w:val="00E009DB"/>
    <w:rsid w:val="00E01F42"/>
    <w:rsid w:val="00E206D6"/>
    <w:rsid w:val="00E22D0E"/>
    <w:rsid w:val="00E3366E"/>
    <w:rsid w:val="00E340FB"/>
    <w:rsid w:val="00E52086"/>
    <w:rsid w:val="00E543A6"/>
    <w:rsid w:val="00E60479"/>
    <w:rsid w:val="00E61D73"/>
    <w:rsid w:val="00E651E9"/>
    <w:rsid w:val="00E73684"/>
    <w:rsid w:val="00E818D6"/>
    <w:rsid w:val="00E87F7A"/>
    <w:rsid w:val="00E96BD7"/>
    <w:rsid w:val="00EA0DB1"/>
    <w:rsid w:val="00EA0EE9"/>
    <w:rsid w:val="00EB7BC8"/>
    <w:rsid w:val="00ED52CA"/>
    <w:rsid w:val="00ED5860"/>
    <w:rsid w:val="00EE35C9"/>
    <w:rsid w:val="00EE4FCD"/>
    <w:rsid w:val="00EF03C3"/>
    <w:rsid w:val="00EF31ED"/>
    <w:rsid w:val="00F039C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0B84"/>
    <w:rsid w:val="00F95BC9"/>
    <w:rsid w:val="00FA624C"/>
    <w:rsid w:val="00FD0FAC"/>
    <w:rsid w:val="00FD1DFA"/>
    <w:rsid w:val="00FD4966"/>
    <w:rsid w:val="00FD66C4"/>
    <w:rsid w:val="00FE5758"/>
    <w:rsid w:val="00FE57DC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09C4670"/>
  <w15:docId w15:val="{D0FAA4B8-2961-45FD-86C5-5448713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vens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8D42-6B1B-458C-8A83-2896951E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4479E98A</Template>
  <TotalTime>30</TotalTime>
  <Pages>3</Pages>
  <Words>705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COURTNEY Alice</cp:lastModifiedBy>
  <cp:revision>6</cp:revision>
  <cp:lastPrinted>2015-07-03T13:50:00Z</cp:lastPrinted>
  <dcterms:created xsi:type="dcterms:W3CDTF">2022-09-14T09:45:00Z</dcterms:created>
  <dcterms:modified xsi:type="dcterms:W3CDTF">2022-09-15T12:02:00Z</dcterms:modified>
</cp:coreProperties>
</file>